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7167"/>
      </w:tblGrid>
      <w:tr w:rsidR="00177BF4" w:rsidTr="00177BF4">
        <w:tc>
          <w:tcPr>
            <w:tcW w:w="1686" w:type="dxa"/>
          </w:tcPr>
          <w:p w:rsidR="00177BF4" w:rsidRDefault="00177BF4" w:rsidP="00771243">
            <w:pPr>
              <w:pStyle w:val="Titre1"/>
              <w:numPr>
                <w:ilvl w:val="0"/>
                <w:numId w:val="2"/>
              </w:numPr>
              <w:tabs>
                <w:tab w:val="left" w:pos="0"/>
              </w:tabs>
              <w:spacing w:before="0"/>
              <w:ind w:left="0" w:firstLine="0"/>
              <w:jc w:val="center"/>
              <w:outlineLvl w:val="0"/>
              <w:rPr>
                <w:b/>
                <w:sz w:val="40"/>
                <w:szCs w:val="40"/>
              </w:rPr>
            </w:pPr>
            <w:r>
              <w:rPr>
                <w:rFonts w:ascii="Tahoma" w:hAnsi="Tahoma"/>
                <w:noProof/>
                <w:sz w:val="18"/>
              </w:rPr>
              <w:drawing>
                <wp:inline distT="0" distB="0" distL="0" distR="0" wp14:anchorId="7B8952C5" wp14:editId="5E393D7C">
                  <wp:extent cx="1209675" cy="691243"/>
                  <wp:effectExtent l="0" t="0" r="0" b="0"/>
                  <wp:docPr id="1" name="Image 1" descr="Marianneco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cou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691243"/>
                          </a:xfrm>
                          <a:prstGeom prst="rect">
                            <a:avLst/>
                          </a:prstGeom>
                          <a:noFill/>
                          <a:ln>
                            <a:noFill/>
                          </a:ln>
                        </pic:spPr>
                      </pic:pic>
                    </a:graphicData>
                  </a:graphic>
                </wp:inline>
              </w:drawing>
            </w:r>
          </w:p>
        </w:tc>
        <w:tc>
          <w:tcPr>
            <w:tcW w:w="7526" w:type="dxa"/>
          </w:tcPr>
          <w:p w:rsidR="00177BF4" w:rsidRPr="00773327" w:rsidRDefault="00177BF4" w:rsidP="00177BF4">
            <w:pPr>
              <w:pStyle w:val="Titre1"/>
              <w:numPr>
                <w:ilvl w:val="0"/>
                <w:numId w:val="2"/>
              </w:numPr>
              <w:tabs>
                <w:tab w:val="left" w:pos="0"/>
              </w:tabs>
              <w:spacing w:before="0"/>
              <w:ind w:left="0" w:firstLine="0"/>
              <w:jc w:val="center"/>
              <w:outlineLvl w:val="0"/>
              <w:rPr>
                <w:b/>
                <w:sz w:val="40"/>
                <w:szCs w:val="40"/>
              </w:rPr>
            </w:pPr>
            <w:r w:rsidRPr="00773327">
              <w:rPr>
                <w:b/>
                <w:sz w:val="40"/>
                <w:szCs w:val="40"/>
              </w:rPr>
              <w:t>Charte de déontologie</w:t>
            </w:r>
          </w:p>
          <w:p w:rsidR="00177BF4" w:rsidRPr="00177BF4" w:rsidRDefault="00177BF4" w:rsidP="00177BF4">
            <w:pPr>
              <w:pStyle w:val="Titre1"/>
              <w:numPr>
                <w:ilvl w:val="0"/>
                <w:numId w:val="2"/>
              </w:numPr>
              <w:tabs>
                <w:tab w:val="left" w:pos="0"/>
              </w:tabs>
              <w:spacing w:before="0"/>
              <w:ind w:left="0" w:firstLine="0"/>
              <w:jc w:val="center"/>
              <w:outlineLvl w:val="0"/>
              <w:rPr>
                <w:b/>
                <w:sz w:val="32"/>
                <w:szCs w:val="32"/>
              </w:rPr>
            </w:pPr>
            <w:proofErr w:type="gramStart"/>
            <w:r w:rsidRPr="00177BF4">
              <w:rPr>
                <w:b/>
                <w:sz w:val="32"/>
                <w:szCs w:val="32"/>
              </w:rPr>
              <w:t>des</w:t>
            </w:r>
            <w:proofErr w:type="gramEnd"/>
            <w:r w:rsidRPr="00177BF4">
              <w:rPr>
                <w:b/>
                <w:sz w:val="32"/>
                <w:szCs w:val="32"/>
              </w:rPr>
              <w:t xml:space="preserve"> membres de jury du titre professionnel délivré par le ministère charg</w:t>
            </w:r>
            <w:r>
              <w:rPr>
                <w:b/>
                <w:sz w:val="32"/>
                <w:szCs w:val="32"/>
              </w:rPr>
              <w:t>é</w:t>
            </w:r>
            <w:bookmarkStart w:id="0" w:name="_GoBack"/>
            <w:bookmarkEnd w:id="0"/>
            <w:r w:rsidRPr="00177BF4">
              <w:rPr>
                <w:b/>
                <w:sz w:val="32"/>
                <w:szCs w:val="32"/>
              </w:rPr>
              <w:t xml:space="preserve"> de l’emploi</w:t>
            </w:r>
          </w:p>
        </w:tc>
      </w:tr>
    </w:tbl>
    <w:p w:rsidR="00177BF4" w:rsidRPr="00177BF4" w:rsidRDefault="00177BF4" w:rsidP="00771243">
      <w:pPr>
        <w:pStyle w:val="Titre1"/>
        <w:numPr>
          <w:ilvl w:val="0"/>
          <w:numId w:val="2"/>
        </w:numPr>
        <w:tabs>
          <w:tab w:val="left" w:pos="0"/>
        </w:tabs>
        <w:spacing w:before="0"/>
        <w:ind w:left="0" w:firstLine="0"/>
        <w:jc w:val="center"/>
        <w:rPr>
          <w:b/>
          <w:sz w:val="20"/>
        </w:rPr>
      </w:pPr>
    </w:p>
    <w:p w:rsidR="00771243" w:rsidRDefault="00771243" w:rsidP="00771243">
      <w:pPr>
        <w:pStyle w:val="chapo"/>
        <w:spacing w:before="0" w:line="240" w:lineRule="auto"/>
        <w:rPr>
          <w:sz w:val="20"/>
        </w:rPr>
      </w:pPr>
    </w:p>
    <w:p w:rsidR="00771243" w:rsidRDefault="00771243" w:rsidP="00771243">
      <w:pPr>
        <w:pBdr>
          <w:top w:val="single" w:sz="4" w:space="1" w:color="auto"/>
          <w:left w:val="single" w:sz="4" w:space="4" w:color="auto"/>
          <w:bottom w:val="single" w:sz="4" w:space="1" w:color="auto"/>
          <w:right w:val="single" w:sz="4" w:space="4" w:color="auto"/>
        </w:pBdr>
        <w:jc w:val="both"/>
        <w:rPr>
          <w:rFonts w:ascii="Arial" w:hAnsi="Arial" w:cs="Arial"/>
          <w:b/>
          <w:i/>
          <w:color w:val="333399"/>
          <w:sz w:val="22"/>
          <w:szCs w:val="22"/>
        </w:rPr>
      </w:pPr>
      <w:r w:rsidRPr="00611121">
        <w:rPr>
          <w:rFonts w:ascii="Arial" w:hAnsi="Arial" w:cs="Arial"/>
          <w:b/>
          <w:i/>
          <w:color w:val="333399"/>
          <w:sz w:val="22"/>
          <w:szCs w:val="22"/>
        </w:rPr>
        <w:t>Préambule</w:t>
      </w:r>
    </w:p>
    <w:p w:rsidR="00771243" w:rsidRPr="00611121" w:rsidRDefault="00771243" w:rsidP="00771243">
      <w:pPr>
        <w:pBdr>
          <w:top w:val="single" w:sz="4" w:space="1" w:color="auto"/>
          <w:left w:val="single" w:sz="4" w:space="4" w:color="auto"/>
          <w:bottom w:val="single" w:sz="4" w:space="1" w:color="auto"/>
          <w:right w:val="single" w:sz="4" w:space="4" w:color="auto"/>
        </w:pBdr>
        <w:jc w:val="both"/>
        <w:rPr>
          <w:rFonts w:ascii="Arial" w:hAnsi="Arial" w:cs="Arial"/>
          <w:b/>
          <w:i/>
          <w:color w:val="333399"/>
          <w:sz w:val="22"/>
          <w:szCs w:val="22"/>
        </w:rPr>
      </w:pPr>
    </w:p>
    <w:p w:rsidR="00771243" w:rsidRPr="00A267B6" w:rsidRDefault="00771243" w:rsidP="00771243">
      <w:pPr>
        <w:pBdr>
          <w:top w:val="single" w:sz="4" w:space="1" w:color="auto"/>
          <w:left w:val="single" w:sz="4" w:space="4" w:color="auto"/>
          <w:bottom w:val="single" w:sz="4" w:space="1" w:color="auto"/>
          <w:right w:val="single" w:sz="4" w:space="4" w:color="auto"/>
        </w:pBdr>
        <w:jc w:val="both"/>
        <w:rPr>
          <w:i/>
        </w:rPr>
      </w:pPr>
      <w:r w:rsidRPr="00A267B6">
        <w:rPr>
          <w:i/>
        </w:rPr>
        <w:t>Toute démarche de validation de compétences professionnelles, acquises par la formation ou l’expérience, trouve son aboutissement dans le travail d’évaluation que mènent les jurés et dans leur décision finale de valider ou non la prestation des candidats, en vue de leur attribuer tout ou partie d’un titre professionnel.</w:t>
      </w:r>
    </w:p>
    <w:p w:rsidR="00771243" w:rsidRPr="00A267B6" w:rsidRDefault="00771243" w:rsidP="00771243">
      <w:pPr>
        <w:pBdr>
          <w:top w:val="single" w:sz="4" w:space="1" w:color="auto"/>
          <w:left w:val="single" w:sz="4" w:space="4" w:color="auto"/>
          <w:bottom w:val="single" w:sz="4" w:space="1" w:color="auto"/>
          <w:right w:val="single" w:sz="4" w:space="4" w:color="auto"/>
        </w:pBdr>
        <w:jc w:val="both"/>
        <w:rPr>
          <w:i/>
        </w:rPr>
      </w:pPr>
      <w:r w:rsidRPr="00A267B6">
        <w:rPr>
          <w:i/>
        </w:rPr>
        <w:t>Le rôle du jury est donc très important ; leurs pratiques doivent être rigoureuses et identiques sur le territoire national afin de respecter une égalité de traitement des candidats.</w:t>
      </w:r>
    </w:p>
    <w:p w:rsidR="00771243" w:rsidRPr="00A267B6" w:rsidRDefault="00771243" w:rsidP="00771243">
      <w:pPr>
        <w:pStyle w:val="chapo"/>
        <w:pBdr>
          <w:top w:val="single" w:sz="4" w:space="1" w:color="auto"/>
          <w:left w:val="single" w:sz="4" w:space="4" w:color="auto"/>
          <w:bottom w:val="single" w:sz="4" w:space="1" w:color="auto"/>
          <w:right w:val="single" w:sz="4" w:space="4" w:color="auto"/>
        </w:pBdr>
        <w:spacing w:before="0" w:line="240" w:lineRule="auto"/>
        <w:rPr>
          <w:i/>
          <w:sz w:val="20"/>
        </w:rPr>
      </w:pPr>
    </w:p>
    <w:p w:rsidR="00771243" w:rsidRPr="00A267B6" w:rsidRDefault="00771243" w:rsidP="00771243">
      <w:pPr>
        <w:pBdr>
          <w:top w:val="single" w:sz="4" w:space="1" w:color="auto"/>
          <w:left w:val="single" w:sz="4" w:space="4" w:color="auto"/>
          <w:bottom w:val="single" w:sz="4" w:space="1" w:color="auto"/>
          <w:right w:val="single" w:sz="4" w:space="4" w:color="auto"/>
        </w:pBdr>
        <w:jc w:val="both"/>
        <w:rPr>
          <w:i/>
          <w:lang w:eastAsia="ar-SA"/>
        </w:rPr>
      </w:pPr>
      <w:r w:rsidRPr="00A267B6">
        <w:rPr>
          <w:i/>
        </w:rPr>
        <w:t xml:space="preserve">Les membres de jury sont </w:t>
      </w:r>
      <w:r w:rsidRPr="00A267B6">
        <w:rPr>
          <w:i/>
          <w:lang w:eastAsia="ar-SA"/>
        </w:rPr>
        <w:t>habilités et missionnés par le Directeur de l’Unité Territoriale de la DIRECCTE.</w:t>
      </w:r>
    </w:p>
    <w:p w:rsidR="00771243" w:rsidRPr="00A267B6" w:rsidRDefault="00771243" w:rsidP="00771243">
      <w:pPr>
        <w:pBdr>
          <w:top w:val="single" w:sz="4" w:space="1" w:color="auto"/>
          <w:left w:val="single" w:sz="4" w:space="4" w:color="auto"/>
          <w:bottom w:val="single" w:sz="4" w:space="1" w:color="auto"/>
          <w:right w:val="single" w:sz="4" w:space="4" w:color="auto"/>
        </w:pBdr>
        <w:jc w:val="both"/>
        <w:rPr>
          <w:i/>
          <w:lang w:eastAsia="ar-SA"/>
        </w:rPr>
      </w:pPr>
      <w:r w:rsidRPr="00A267B6">
        <w:rPr>
          <w:i/>
          <w:lang w:eastAsia="ar-SA"/>
        </w:rPr>
        <w:t>Ils garantissent l’application des références professionnelles et des critères d’évaluation prévus dans le référentiel de certification, lors des sessions d’évaluation.</w:t>
      </w:r>
    </w:p>
    <w:p w:rsidR="00771243" w:rsidRPr="00A267B6" w:rsidRDefault="00771243" w:rsidP="00771243">
      <w:pPr>
        <w:pBdr>
          <w:top w:val="single" w:sz="4" w:space="1" w:color="auto"/>
          <w:left w:val="single" w:sz="4" w:space="4" w:color="auto"/>
          <w:bottom w:val="single" w:sz="4" w:space="1" w:color="auto"/>
          <w:right w:val="single" w:sz="4" w:space="4" w:color="auto"/>
        </w:pBdr>
        <w:jc w:val="both"/>
        <w:rPr>
          <w:i/>
          <w:lang w:eastAsia="ar-SA"/>
        </w:rPr>
      </w:pPr>
      <w:r w:rsidRPr="00A267B6">
        <w:rPr>
          <w:i/>
          <w:lang w:eastAsia="ar-SA"/>
        </w:rPr>
        <w:t>Leur rôle consiste à :</w:t>
      </w:r>
    </w:p>
    <w:p w:rsidR="00771243" w:rsidRPr="00A267B6" w:rsidRDefault="00771243" w:rsidP="00771243">
      <w:pPr>
        <w:pBdr>
          <w:top w:val="single" w:sz="4" w:space="1" w:color="auto"/>
          <w:left w:val="single" w:sz="4" w:space="4" w:color="auto"/>
          <w:bottom w:val="single" w:sz="4" w:space="1" w:color="auto"/>
          <w:right w:val="single" w:sz="4" w:space="4" w:color="auto"/>
        </w:pBdr>
        <w:jc w:val="both"/>
        <w:rPr>
          <w:i/>
          <w:lang w:eastAsia="ar-SA"/>
        </w:rPr>
      </w:pPr>
      <w:r w:rsidRPr="00A267B6">
        <w:rPr>
          <w:i/>
          <w:lang w:eastAsia="ar-SA"/>
        </w:rPr>
        <w:t>- Evaluer les réalisations des candidats et valider leurs compétences et leur aptitude à tenir l’emploi visé par le titre</w:t>
      </w:r>
    </w:p>
    <w:p w:rsidR="00771243" w:rsidRPr="00A267B6" w:rsidRDefault="00771243" w:rsidP="00771243">
      <w:pPr>
        <w:pBdr>
          <w:top w:val="single" w:sz="4" w:space="1" w:color="auto"/>
          <w:left w:val="single" w:sz="4" w:space="4" w:color="auto"/>
          <w:bottom w:val="single" w:sz="4" w:space="1" w:color="auto"/>
          <w:right w:val="single" w:sz="4" w:space="4" w:color="auto"/>
        </w:pBdr>
        <w:jc w:val="both"/>
        <w:rPr>
          <w:i/>
          <w:lang w:eastAsia="ar-SA"/>
        </w:rPr>
      </w:pPr>
      <w:r w:rsidRPr="00A267B6">
        <w:rPr>
          <w:i/>
          <w:lang w:eastAsia="ar-SA"/>
        </w:rPr>
        <w:t>- Délibérer et décider, souverainement, de l’attribution des titres, CCP ou CCS</w:t>
      </w:r>
    </w:p>
    <w:p w:rsidR="00771243" w:rsidRPr="00A267B6" w:rsidRDefault="00771243" w:rsidP="00771243">
      <w:pPr>
        <w:pBdr>
          <w:top w:val="single" w:sz="4" w:space="1" w:color="auto"/>
          <w:left w:val="single" w:sz="4" w:space="4" w:color="auto"/>
          <w:bottom w:val="single" w:sz="4" w:space="1" w:color="auto"/>
          <w:right w:val="single" w:sz="4" w:space="4" w:color="auto"/>
        </w:pBdr>
        <w:jc w:val="both"/>
        <w:rPr>
          <w:i/>
          <w:lang w:eastAsia="ar-SA"/>
        </w:rPr>
      </w:pPr>
      <w:r w:rsidRPr="00A267B6">
        <w:rPr>
          <w:i/>
          <w:lang w:eastAsia="ar-SA"/>
        </w:rPr>
        <w:t>- Restituer les résultats au candidat et remplir la fiche individuelle de résultats</w:t>
      </w:r>
    </w:p>
    <w:p w:rsidR="00771243" w:rsidRDefault="00771243" w:rsidP="00771243">
      <w:pPr>
        <w:pBdr>
          <w:top w:val="single" w:sz="4" w:space="1" w:color="auto"/>
          <w:left w:val="single" w:sz="4" w:space="4" w:color="auto"/>
          <w:bottom w:val="single" w:sz="4" w:space="1" w:color="auto"/>
          <w:right w:val="single" w:sz="4" w:space="4" w:color="auto"/>
        </w:pBdr>
        <w:jc w:val="both"/>
        <w:rPr>
          <w:i/>
        </w:rPr>
      </w:pPr>
      <w:r w:rsidRPr="00A267B6">
        <w:rPr>
          <w:i/>
        </w:rPr>
        <w:t>- Dresser le procès-verbal de la session, permettant à l’Unité territoriale de la DIRECCTE d’effectuer l’acte de certification</w:t>
      </w:r>
    </w:p>
    <w:p w:rsidR="00771243" w:rsidRPr="00A267B6" w:rsidRDefault="00771243" w:rsidP="00771243">
      <w:pPr>
        <w:pBdr>
          <w:top w:val="single" w:sz="4" w:space="1" w:color="auto"/>
          <w:left w:val="single" w:sz="4" w:space="4" w:color="auto"/>
          <w:bottom w:val="single" w:sz="4" w:space="1" w:color="auto"/>
          <w:right w:val="single" w:sz="4" w:space="4" w:color="auto"/>
        </w:pBdr>
        <w:jc w:val="both"/>
        <w:rPr>
          <w:i/>
        </w:rPr>
      </w:pPr>
    </w:p>
    <w:p w:rsidR="00771243" w:rsidRPr="007D2F1D" w:rsidRDefault="00771243" w:rsidP="00771243">
      <w:pPr>
        <w:pStyle w:val="Titre3"/>
        <w:numPr>
          <w:ilvl w:val="2"/>
          <w:numId w:val="2"/>
        </w:numPr>
        <w:tabs>
          <w:tab w:val="left" w:pos="0"/>
        </w:tabs>
        <w:ind w:left="0" w:firstLine="0"/>
        <w:jc w:val="both"/>
        <w:rPr>
          <w:rFonts w:ascii="Verdana" w:hAnsi="Verdana"/>
        </w:rPr>
      </w:pPr>
      <w:proofErr w:type="gramStart"/>
      <w:r w:rsidRPr="007D2F1D">
        <w:rPr>
          <w:rFonts w:ascii="Verdana" w:hAnsi="Verdana"/>
        </w:rPr>
        <w:t>A</w:t>
      </w:r>
      <w:r>
        <w:rPr>
          <w:rFonts w:ascii="Verdana" w:hAnsi="Verdana"/>
        </w:rPr>
        <w:t xml:space="preserve"> </w:t>
      </w:r>
      <w:r w:rsidRPr="007D2F1D">
        <w:rPr>
          <w:rFonts w:ascii="Verdana" w:hAnsi="Verdana"/>
        </w:rPr>
        <w:t>-</w:t>
      </w:r>
      <w:proofErr w:type="gramEnd"/>
      <w:r>
        <w:rPr>
          <w:rFonts w:ascii="Verdana" w:hAnsi="Verdana"/>
        </w:rPr>
        <w:t xml:space="preserve"> </w:t>
      </w:r>
      <w:r w:rsidRPr="007D2F1D">
        <w:rPr>
          <w:rFonts w:ascii="Verdana" w:hAnsi="Verdana"/>
        </w:rPr>
        <w:t>La neutralité :</w:t>
      </w:r>
    </w:p>
    <w:p w:rsidR="00771243" w:rsidRPr="00A267B6" w:rsidRDefault="00771243" w:rsidP="00771243">
      <w:pPr>
        <w:jc w:val="both"/>
      </w:pPr>
      <w:r w:rsidRPr="00A267B6">
        <w:t>Le jury n'est pas une instance de recrutement. Vous faites abstraction de tout intérêt personnel et professionnel.</w:t>
      </w:r>
    </w:p>
    <w:p w:rsidR="00771243" w:rsidRPr="007D2F1D" w:rsidRDefault="00771243" w:rsidP="00771243">
      <w:pPr>
        <w:jc w:val="both"/>
        <w:rPr>
          <w:sz w:val="22"/>
          <w:szCs w:val="22"/>
        </w:rPr>
      </w:pPr>
      <w:r w:rsidRPr="00A267B6">
        <w:t>Vous ne participez pas à l'évaluation ni aux délibérations du jury si vous connaissez personnellement un candidat</w:t>
      </w:r>
      <w:r w:rsidRPr="007D2F1D">
        <w:rPr>
          <w:sz w:val="22"/>
          <w:szCs w:val="22"/>
        </w:rPr>
        <w:t>.</w:t>
      </w:r>
    </w:p>
    <w:p w:rsidR="00771243" w:rsidRPr="007D2F1D" w:rsidRDefault="00771243" w:rsidP="00771243">
      <w:pPr>
        <w:pStyle w:val="Titre3"/>
        <w:numPr>
          <w:ilvl w:val="2"/>
          <w:numId w:val="2"/>
        </w:numPr>
        <w:tabs>
          <w:tab w:val="left" w:pos="0"/>
        </w:tabs>
        <w:ind w:left="0" w:firstLine="0"/>
        <w:rPr>
          <w:rFonts w:ascii="Verdana" w:hAnsi="Verdana"/>
        </w:rPr>
      </w:pPr>
      <w:r w:rsidRPr="007D2F1D">
        <w:rPr>
          <w:rFonts w:ascii="Verdana" w:hAnsi="Verdana"/>
        </w:rPr>
        <w:t xml:space="preserve">B </w:t>
      </w:r>
      <w:r>
        <w:rPr>
          <w:rFonts w:ascii="Verdana" w:hAnsi="Verdana"/>
        </w:rPr>
        <w:t xml:space="preserve">- </w:t>
      </w:r>
      <w:r w:rsidRPr="007D2F1D">
        <w:rPr>
          <w:rFonts w:ascii="Verdana" w:hAnsi="Verdana"/>
        </w:rPr>
        <w:t>L’objectivité de l'évaluation :</w:t>
      </w:r>
    </w:p>
    <w:p w:rsidR="00771243" w:rsidRPr="00A267B6" w:rsidRDefault="00771243" w:rsidP="00771243">
      <w:pPr>
        <w:jc w:val="both"/>
      </w:pPr>
      <w:r w:rsidRPr="00A267B6">
        <w:t xml:space="preserve">Après avoir analysé de manière approfondie l'intégralité du dossier du candidat, vous évaluez dans le cadre d’une mise en situation, ses compétences professionnelles, sans considération du statut et des particularités de </w:t>
      </w:r>
      <w:smartTag w:uri="urn:schemas-microsoft-com:office:smarttags" w:element="PersonName">
        <w:smartTagPr>
          <w:attr w:name="ProductID" w:val="la personne. Votre"/>
        </w:smartTagPr>
        <w:r w:rsidRPr="00A267B6">
          <w:t>la personne. Votre</w:t>
        </w:r>
      </w:smartTag>
      <w:r w:rsidRPr="00A267B6">
        <w:t xml:space="preserve"> évaluation se fonde sur la performance du candidat au regard des textes de référence de la certification visée et notamment du référentiel de certification et du dossier technique d’évaluation. Vous prenez du recul par rapport à vos propres procédures de travail et perception du métier.</w:t>
      </w:r>
    </w:p>
    <w:p w:rsidR="00771243" w:rsidRPr="007D2F1D" w:rsidRDefault="00771243" w:rsidP="00771243">
      <w:pPr>
        <w:pStyle w:val="Titre3"/>
        <w:numPr>
          <w:ilvl w:val="2"/>
          <w:numId w:val="2"/>
        </w:numPr>
        <w:tabs>
          <w:tab w:val="left" w:pos="0"/>
        </w:tabs>
        <w:ind w:left="0" w:firstLine="0"/>
        <w:rPr>
          <w:rFonts w:ascii="Verdana" w:hAnsi="Verdana"/>
        </w:rPr>
      </w:pPr>
      <w:r w:rsidRPr="007D2F1D">
        <w:rPr>
          <w:rFonts w:ascii="Verdana" w:hAnsi="Verdana"/>
        </w:rPr>
        <w:t xml:space="preserve">C </w:t>
      </w:r>
      <w:r>
        <w:rPr>
          <w:rFonts w:ascii="Verdana" w:hAnsi="Verdana"/>
        </w:rPr>
        <w:t xml:space="preserve">- </w:t>
      </w:r>
      <w:r w:rsidRPr="007D2F1D">
        <w:rPr>
          <w:rFonts w:ascii="Verdana" w:hAnsi="Verdana"/>
        </w:rPr>
        <w:t>Le respect de la confidentialité :</w:t>
      </w:r>
    </w:p>
    <w:p w:rsidR="00771243" w:rsidRPr="00A267B6" w:rsidRDefault="00771243" w:rsidP="00771243">
      <w:pPr>
        <w:jc w:val="both"/>
      </w:pPr>
      <w:r w:rsidRPr="00A267B6">
        <w:t>Vous respectez, sans limitation de durée, la confidentialité des informations de toute nature fournies par le candidat et notamment les données personnelles et professionnelles.</w:t>
      </w:r>
    </w:p>
    <w:p w:rsidR="00771243" w:rsidRPr="00A267B6" w:rsidRDefault="00771243" w:rsidP="00771243">
      <w:pPr>
        <w:jc w:val="both"/>
      </w:pPr>
      <w:r w:rsidRPr="00A267B6">
        <w:t>Vous vous engagez également à garantir la confidentialité des délibérations du jury.</w:t>
      </w:r>
    </w:p>
    <w:p w:rsidR="00771243" w:rsidRPr="007D2F1D" w:rsidRDefault="00771243" w:rsidP="00771243">
      <w:pPr>
        <w:pStyle w:val="Titre3"/>
        <w:numPr>
          <w:ilvl w:val="2"/>
          <w:numId w:val="2"/>
        </w:numPr>
        <w:tabs>
          <w:tab w:val="left" w:pos="0"/>
        </w:tabs>
        <w:ind w:left="0" w:firstLine="0"/>
        <w:rPr>
          <w:rFonts w:ascii="Verdana" w:hAnsi="Verdana"/>
        </w:rPr>
      </w:pPr>
      <w:r w:rsidRPr="007D2F1D">
        <w:rPr>
          <w:rFonts w:ascii="Verdana" w:hAnsi="Verdana"/>
        </w:rPr>
        <w:t xml:space="preserve">D </w:t>
      </w:r>
      <w:r>
        <w:rPr>
          <w:rFonts w:ascii="Verdana" w:hAnsi="Verdana"/>
        </w:rPr>
        <w:t xml:space="preserve">- </w:t>
      </w:r>
      <w:r w:rsidRPr="007D2F1D">
        <w:rPr>
          <w:rFonts w:ascii="Verdana" w:hAnsi="Verdana"/>
        </w:rPr>
        <w:t>L'égalité</w:t>
      </w:r>
      <w:r>
        <w:rPr>
          <w:rFonts w:ascii="Verdana" w:hAnsi="Verdana"/>
        </w:rPr>
        <w:t xml:space="preserve"> de traitement :</w:t>
      </w:r>
    </w:p>
    <w:p w:rsidR="00771243" w:rsidRPr="00A267B6" w:rsidRDefault="00771243" w:rsidP="00771243">
      <w:pPr>
        <w:jc w:val="both"/>
      </w:pPr>
      <w:r w:rsidRPr="00A267B6">
        <w:t>Tout au long de la procédure d'évaluation, vous veillez à ce qu'aucun élément de nature discriminatoire ne perturbe l'appréciation du dossier ; vous veillez à fonder votre évaluation sur l'expérience du candidat dans sa globalité et adoptez une attitude neutre et bienveillante.</w:t>
      </w:r>
    </w:p>
    <w:p w:rsidR="00771243" w:rsidRPr="00A267B6" w:rsidRDefault="00771243" w:rsidP="00771243">
      <w:pPr>
        <w:jc w:val="both"/>
      </w:pPr>
      <w:r w:rsidRPr="00A267B6">
        <w:t>Vous laissez le candidat conduire son activité et n'intervenez que pour des raisons de sécurité.</w:t>
      </w:r>
    </w:p>
    <w:p w:rsidR="00771243" w:rsidRPr="007D2F1D" w:rsidRDefault="00771243" w:rsidP="00771243">
      <w:pPr>
        <w:pStyle w:val="Titre3"/>
        <w:numPr>
          <w:ilvl w:val="2"/>
          <w:numId w:val="2"/>
        </w:numPr>
        <w:tabs>
          <w:tab w:val="left" w:pos="0"/>
        </w:tabs>
        <w:ind w:left="0" w:firstLine="0"/>
        <w:rPr>
          <w:rFonts w:ascii="Verdana" w:hAnsi="Verdana"/>
        </w:rPr>
      </w:pPr>
      <w:r w:rsidRPr="007D2F1D">
        <w:rPr>
          <w:rFonts w:ascii="Verdana" w:hAnsi="Verdana"/>
        </w:rPr>
        <w:t xml:space="preserve">E </w:t>
      </w:r>
      <w:r>
        <w:rPr>
          <w:rFonts w:ascii="Verdana" w:hAnsi="Verdana"/>
        </w:rPr>
        <w:t xml:space="preserve">- </w:t>
      </w:r>
      <w:r w:rsidRPr="007D2F1D">
        <w:rPr>
          <w:rFonts w:ascii="Verdana" w:hAnsi="Verdana"/>
        </w:rPr>
        <w:t>La solidarité de la décision du jury :</w:t>
      </w:r>
    </w:p>
    <w:p w:rsidR="00771243" w:rsidRPr="00A267B6" w:rsidRDefault="00771243" w:rsidP="00771243">
      <w:pPr>
        <w:jc w:val="both"/>
      </w:pPr>
      <w:r w:rsidRPr="00A267B6">
        <w:t>Vous êtes solidaire de la décision du jury.</w:t>
      </w:r>
    </w:p>
    <w:p w:rsidR="00771243" w:rsidRPr="00A267B6" w:rsidRDefault="00771243" w:rsidP="00771243">
      <w:pPr>
        <w:jc w:val="both"/>
      </w:pPr>
      <w:r w:rsidRPr="00A267B6">
        <w:rPr>
          <w:lang w:eastAsia="ar-SA"/>
        </w:rPr>
        <w:t xml:space="preserve">Chaque membre du jury </w:t>
      </w:r>
      <w:r w:rsidRPr="00A267B6">
        <w:t>garantit le respect du cadre règlementaire de la certification, de la charte de déontologie des membres du jury et des règles méthodologiques d'évaluation des candidats.</w:t>
      </w:r>
    </w:p>
    <w:p w:rsidR="00771243" w:rsidRPr="00A267B6" w:rsidRDefault="00771243" w:rsidP="00771243">
      <w:pPr>
        <w:jc w:val="both"/>
      </w:pPr>
      <w:r w:rsidRPr="00A267B6">
        <w:t>Il garantit la sérénité et le bon déroulement des débats pour aboutir à une proposition la plus consensuelle possible concernant la décision finale du jury.</w:t>
      </w:r>
    </w:p>
    <w:p w:rsidR="00771243" w:rsidRDefault="00771243" w:rsidP="00771243">
      <w:pPr>
        <w:jc w:val="both"/>
      </w:pPr>
      <w:r w:rsidRPr="00F47467">
        <w:t>Les jurés expriment équitablement leur opinion.</w:t>
      </w:r>
    </w:p>
    <w:p w:rsidR="00AD257C" w:rsidRDefault="00AD257C"/>
    <w:sectPr w:rsidR="00AD2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2">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96D23F4"/>
    <w:multiLevelType w:val="singleLevel"/>
    <w:tmpl w:val="FB30FA5C"/>
    <w:lvl w:ilvl="0">
      <w:start w:val="1"/>
      <w:numFmt w:val="bullet"/>
      <w:lvlText w:val="-"/>
      <w:lvlJc w:val="left"/>
      <w:pPr>
        <w:tabs>
          <w:tab w:val="num" w:pos="360"/>
        </w:tabs>
        <w:ind w:left="360" w:hanging="360"/>
      </w:pPr>
      <w:rPr>
        <w:rFonts w:ascii="Wingdings2" w:hAnsi="Clarendon Condensed"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43"/>
    <w:rsid w:val="00177BF4"/>
    <w:rsid w:val="00771243"/>
    <w:rsid w:val="00AD257C"/>
    <w:rsid w:val="00F64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4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71243"/>
    <w:pPr>
      <w:keepNext/>
      <w:widowControl w:val="0"/>
      <w:numPr>
        <w:numId w:val="1"/>
      </w:numPr>
      <w:suppressAutoHyphens/>
      <w:spacing w:before="600"/>
      <w:outlineLvl w:val="0"/>
    </w:pPr>
    <w:rPr>
      <w:rFonts w:ascii="Arial" w:eastAsia="Times" w:hAnsi="Arial" w:cs="Times"/>
      <w:color w:val="00478C"/>
      <w:kern w:val="1"/>
      <w:sz w:val="48"/>
      <w:lang w:eastAsia="ar-SA"/>
    </w:rPr>
  </w:style>
  <w:style w:type="paragraph" w:styleId="Titre3">
    <w:name w:val="heading 3"/>
    <w:basedOn w:val="Normal"/>
    <w:next w:val="Normal"/>
    <w:link w:val="Titre3Car"/>
    <w:qFormat/>
    <w:rsid w:val="00771243"/>
    <w:pPr>
      <w:keepNext/>
      <w:widowControl w:val="0"/>
      <w:numPr>
        <w:ilvl w:val="2"/>
        <w:numId w:val="1"/>
      </w:numPr>
      <w:suppressAutoHyphens/>
      <w:spacing w:before="280"/>
      <w:outlineLvl w:val="2"/>
    </w:pPr>
    <w:rPr>
      <w:rFonts w:ascii="Arial" w:eastAsia="Times" w:hAnsi="Arial" w:cs="Times"/>
      <w:b/>
      <w:color w:val="00478C"/>
      <w:sz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71243"/>
    <w:rPr>
      <w:rFonts w:ascii="Arial" w:eastAsia="Times" w:hAnsi="Arial" w:cs="Times"/>
      <w:color w:val="00478C"/>
      <w:kern w:val="1"/>
      <w:sz w:val="48"/>
      <w:szCs w:val="20"/>
      <w:lang w:eastAsia="ar-SA"/>
    </w:rPr>
  </w:style>
  <w:style w:type="character" w:customStyle="1" w:styleId="Titre3Car">
    <w:name w:val="Titre 3 Car"/>
    <w:basedOn w:val="Policepardfaut"/>
    <w:link w:val="Titre3"/>
    <w:rsid w:val="00771243"/>
    <w:rPr>
      <w:rFonts w:ascii="Arial" w:eastAsia="Times" w:hAnsi="Arial" w:cs="Times"/>
      <w:b/>
      <w:color w:val="00478C"/>
      <w:szCs w:val="20"/>
      <w:lang w:eastAsia="ar-SA"/>
    </w:rPr>
  </w:style>
  <w:style w:type="paragraph" w:customStyle="1" w:styleId="chapo">
    <w:name w:val="chapo"/>
    <w:basedOn w:val="Normal"/>
    <w:rsid w:val="00771243"/>
    <w:pPr>
      <w:widowControl w:val="0"/>
      <w:suppressAutoHyphens/>
      <w:spacing w:before="80" w:line="360" w:lineRule="auto"/>
    </w:pPr>
    <w:rPr>
      <w:rFonts w:ascii="Arial" w:eastAsia="Times" w:hAnsi="Arial" w:cs="Times"/>
      <w:color w:val="00478C"/>
      <w:sz w:val="28"/>
      <w:lang w:eastAsia="ar-SA"/>
    </w:rPr>
  </w:style>
  <w:style w:type="paragraph" w:styleId="Textedebulles">
    <w:name w:val="Balloon Text"/>
    <w:basedOn w:val="Normal"/>
    <w:link w:val="TextedebullesCar"/>
    <w:uiPriority w:val="99"/>
    <w:semiHidden/>
    <w:unhideWhenUsed/>
    <w:rsid w:val="00177BF4"/>
    <w:rPr>
      <w:rFonts w:ascii="Tahoma" w:hAnsi="Tahoma" w:cs="Tahoma"/>
      <w:sz w:val="16"/>
      <w:szCs w:val="16"/>
    </w:rPr>
  </w:style>
  <w:style w:type="character" w:customStyle="1" w:styleId="TextedebullesCar">
    <w:name w:val="Texte de bulles Car"/>
    <w:basedOn w:val="Policepardfaut"/>
    <w:link w:val="Textedebulles"/>
    <w:uiPriority w:val="99"/>
    <w:semiHidden/>
    <w:rsid w:val="00177BF4"/>
    <w:rPr>
      <w:rFonts w:ascii="Tahoma" w:eastAsia="Times New Roman" w:hAnsi="Tahoma" w:cs="Tahoma"/>
      <w:sz w:val="16"/>
      <w:szCs w:val="16"/>
      <w:lang w:eastAsia="fr-FR"/>
    </w:rPr>
  </w:style>
  <w:style w:type="table" w:styleId="Grilledutableau">
    <w:name w:val="Table Grid"/>
    <w:basedOn w:val="TableauNormal"/>
    <w:uiPriority w:val="59"/>
    <w:rsid w:val="0017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4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71243"/>
    <w:pPr>
      <w:keepNext/>
      <w:widowControl w:val="0"/>
      <w:numPr>
        <w:numId w:val="1"/>
      </w:numPr>
      <w:suppressAutoHyphens/>
      <w:spacing w:before="600"/>
      <w:outlineLvl w:val="0"/>
    </w:pPr>
    <w:rPr>
      <w:rFonts w:ascii="Arial" w:eastAsia="Times" w:hAnsi="Arial" w:cs="Times"/>
      <w:color w:val="00478C"/>
      <w:kern w:val="1"/>
      <w:sz w:val="48"/>
      <w:lang w:eastAsia="ar-SA"/>
    </w:rPr>
  </w:style>
  <w:style w:type="paragraph" w:styleId="Titre3">
    <w:name w:val="heading 3"/>
    <w:basedOn w:val="Normal"/>
    <w:next w:val="Normal"/>
    <w:link w:val="Titre3Car"/>
    <w:qFormat/>
    <w:rsid w:val="00771243"/>
    <w:pPr>
      <w:keepNext/>
      <w:widowControl w:val="0"/>
      <w:numPr>
        <w:ilvl w:val="2"/>
        <w:numId w:val="1"/>
      </w:numPr>
      <w:suppressAutoHyphens/>
      <w:spacing w:before="280"/>
      <w:outlineLvl w:val="2"/>
    </w:pPr>
    <w:rPr>
      <w:rFonts w:ascii="Arial" w:eastAsia="Times" w:hAnsi="Arial" w:cs="Times"/>
      <w:b/>
      <w:color w:val="00478C"/>
      <w:sz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71243"/>
    <w:rPr>
      <w:rFonts w:ascii="Arial" w:eastAsia="Times" w:hAnsi="Arial" w:cs="Times"/>
      <w:color w:val="00478C"/>
      <w:kern w:val="1"/>
      <w:sz w:val="48"/>
      <w:szCs w:val="20"/>
      <w:lang w:eastAsia="ar-SA"/>
    </w:rPr>
  </w:style>
  <w:style w:type="character" w:customStyle="1" w:styleId="Titre3Car">
    <w:name w:val="Titre 3 Car"/>
    <w:basedOn w:val="Policepardfaut"/>
    <w:link w:val="Titre3"/>
    <w:rsid w:val="00771243"/>
    <w:rPr>
      <w:rFonts w:ascii="Arial" w:eastAsia="Times" w:hAnsi="Arial" w:cs="Times"/>
      <w:b/>
      <w:color w:val="00478C"/>
      <w:szCs w:val="20"/>
      <w:lang w:eastAsia="ar-SA"/>
    </w:rPr>
  </w:style>
  <w:style w:type="paragraph" w:customStyle="1" w:styleId="chapo">
    <w:name w:val="chapo"/>
    <w:basedOn w:val="Normal"/>
    <w:rsid w:val="00771243"/>
    <w:pPr>
      <w:widowControl w:val="0"/>
      <w:suppressAutoHyphens/>
      <w:spacing w:before="80" w:line="360" w:lineRule="auto"/>
    </w:pPr>
    <w:rPr>
      <w:rFonts w:ascii="Arial" w:eastAsia="Times" w:hAnsi="Arial" w:cs="Times"/>
      <w:color w:val="00478C"/>
      <w:sz w:val="28"/>
      <w:lang w:eastAsia="ar-SA"/>
    </w:rPr>
  </w:style>
  <w:style w:type="paragraph" w:styleId="Textedebulles">
    <w:name w:val="Balloon Text"/>
    <w:basedOn w:val="Normal"/>
    <w:link w:val="TextedebullesCar"/>
    <w:uiPriority w:val="99"/>
    <w:semiHidden/>
    <w:unhideWhenUsed/>
    <w:rsid w:val="00177BF4"/>
    <w:rPr>
      <w:rFonts w:ascii="Tahoma" w:hAnsi="Tahoma" w:cs="Tahoma"/>
      <w:sz w:val="16"/>
      <w:szCs w:val="16"/>
    </w:rPr>
  </w:style>
  <w:style w:type="character" w:customStyle="1" w:styleId="TextedebullesCar">
    <w:name w:val="Texte de bulles Car"/>
    <w:basedOn w:val="Policepardfaut"/>
    <w:link w:val="Textedebulles"/>
    <w:uiPriority w:val="99"/>
    <w:semiHidden/>
    <w:rsid w:val="00177BF4"/>
    <w:rPr>
      <w:rFonts w:ascii="Tahoma" w:eastAsia="Times New Roman" w:hAnsi="Tahoma" w:cs="Tahoma"/>
      <w:sz w:val="16"/>
      <w:szCs w:val="16"/>
      <w:lang w:eastAsia="fr-FR"/>
    </w:rPr>
  </w:style>
  <w:style w:type="table" w:styleId="Grilledutableau">
    <w:name w:val="Table Grid"/>
    <w:basedOn w:val="TableauNormal"/>
    <w:uiPriority w:val="59"/>
    <w:rsid w:val="0017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TOULY (DR-LORRAI)</dc:creator>
  <cp:lastModifiedBy>Catherine TOULY (DR-LORRAI)</cp:lastModifiedBy>
  <cp:revision>3</cp:revision>
  <dcterms:created xsi:type="dcterms:W3CDTF">2012-08-30T13:55:00Z</dcterms:created>
  <dcterms:modified xsi:type="dcterms:W3CDTF">2012-08-30T14:04:00Z</dcterms:modified>
</cp:coreProperties>
</file>